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35B1F" w14:textId="77777777" w:rsidR="00FE11A1" w:rsidRDefault="00FE11A1" w:rsidP="00FE11A1"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6EB3956" wp14:editId="5746A23D">
            <wp:simplePos x="0" y="0"/>
            <wp:positionH relativeFrom="column">
              <wp:posOffset>1323975</wp:posOffset>
            </wp:positionH>
            <wp:positionV relativeFrom="paragraph">
              <wp:posOffset>-923925</wp:posOffset>
            </wp:positionV>
            <wp:extent cx="3433194" cy="13181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A-Logo-Inline-RGB (Web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194" cy="1318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CAD022" w14:textId="77777777" w:rsidR="002735E7" w:rsidRDefault="002735E7" w:rsidP="00FE11A1">
      <w:pPr>
        <w:pStyle w:val="Title"/>
      </w:pPr>
    </w:p>
    <w:p w14:paraId="65DE50F4" w14:textId="5F5AFC0E" w:rsidR="002735E7" w:rsidRDefault="00E70C96" w:rsidP="002735E7">
      <w:pPr>
        <w:pStyle w:val="Title"/>
      </w:pPr>
      <w:r w:rsidRPr="00FE11A1">
        <w:t>Annual</w:t>
      </w:r>
      <w:r w:rsidRPr="00363BD5">
        <w:t xml:space="preserve"> </w:t>
      </w:r>
      <w:r w:rsidR="00AD7F43" w:rsidRPr="00363BD5">
        <w:t xml:space="preserve">Symposium </w:t>
      </w:r>
      <w:r w:rsidR="00FE11A1">
        <w:t>20</w:t>
      </w:r>
      <w:r w:rsidR="002735E7">
        <w:t xml:space="preserve">20 </w:t>
      </w:r>
      <w:r w:rsidRPr="00363BD5">
        <w:t xml:space="preserve">Guidelines </w:t>
      </w:r>
    </w:p>
    <w:p w14:paraId="69325523" w14:textId="77777777" w:rsidR="00CB5517" w:rsidRDefault="00CB5517" w:rsidP="00363BD5">
      <w:pPr>
        <w:pStyle w:val="Heading1"/>
      </w:pPr>
    </w:p>
    <w:p w14:paraId="4AF8FF06" w14:textId="77777777" w:rsidR="005162DC" w:rsidRPr="005162DC" w:rsidRDefault="005162DC" w:rsidP="00363BD5">
      <w:pPr>
        <w:pStyle w:val="Heading1"/>
      </w:pPr>
      <w:r>
        <w:t>Background</w:t>
      </w:r>
    </w:p>
    <w:p w14:paraId="4D5C64D1" w14:textId="627709BC" w:rsidR="00A90375" w:rsidRPr="00363BD5" w:rsidRDefault="00E70C96" w:rsidP="00363BD5">
      <w:r w:rsidRPr="00363BD5">
        <w:t>The Annual Symposium is the Academy’s flagship event</w:t>
      </w:r>
      <w:r w:rsidR="00A90375" w:rsidRPr="00363BD5">
        <w:t xml:space="preserve"> and is intended to promote discussion and debate on an important issue in the so</w:t>
      </w:r>
      <w:r w:rsidR="0098625F">
        <w:t>cial sciences and</w:t>
      </w:r>
      <w:r w:rsidR="004C4EA8">
        <w:t xml:space="preserve"> </w:t>
      </w:r>
      <w:r w:rsidR="0098625F">
        <w:t>to influence</w:t>
      </w:r>
      <w:r w:rsidR="004C4EA8">
        <w:t xml:space="preserve"> public policy. The Symposium falls within the Academy’s Public Forums &amp; Communication (</w:t>
      </w:r>
      <w:proofErr w:type="spellStart"/>
      <w:r w:rsidR="004C4EA8">
        <w:t>PF&amp;C</w:t>
      </w:r>
      <w:proofErr w:type="spellEnd"/>
      <w:r w:rsidR="004C4EA8">
        <w:t xml:space="preserve">) program, managed by the </w:t>
      </w:r>
      <w:proofErr w:type="spellStart"/>
      <w:r w:rsidR="004C4EA8">
        <w:t>PF&amp;C</w:t>
      </w:r>
      <w:proofErr w:type="spellEnd"/>
      <w:r w:rsidR="004C4EA8">
        <w:t xml:space="preserve"> and assisted by the Public Engagement Manager. </w:t>
      </w:r>
    </w:p>
    <w:p w14:paraId="4F8CF8D5" w14:textId="00FE56DC" w:rsidR="00FE2A68" w:rsidRPr="00024784" w:rsidRDefault="004C4EA8" w:rsidP="004C4EA8">
      <w:pPr>
        <w:pStyle w:val="ListParagraph"/>
        <w:numPr>
          <w:ilvl w:val="0"/>
          <w:numId w:val="4"/>
        </w:numPr>
      </w:pPr>
      <w:r>
        <w:t>The C</w:t>
      </w:r>
      <w:r w:rsidR="00FE2A68">
        <w:t xml:space="preserve">ommittee encourages proposers to </w:t>
      </w:r>
      <w:r>
        <w:t>submit</w:t>
      </w:r>
      <w:r w:rsidR="00FE2A68">
        <w:t xml:space="preserve"> </w:t>
      </w:r>
      <w:r>
        <w:t>topics</w:t>
      </w:r>
      <w:r w:rsidR="00FE2A68">
        <w:t xml:space="preserve"> </w:t>
      </w:r>
      <w:r w:rsidR="00FE2A68" w:rsidRPr="00024784">
        <w:t xml:space="preserve">for </w:t>
      </w:r>
      <w:r>
        <w:t xml:space="preserve">the </w:t>
      </w:r>
      <w:r w:rsidR="00FE2A68" w:rsidRPr="00024784">
        <w:t>20</w:t>
      </w:r>
      <w:r>
        <w:t>20</w:t>
      </w:r>
      <w:r w:rsidR="00FE2A68" w:rsidRPr="00024784">
        <w:t xml:space="preserve"> Symposium</w:t>
      </w:r>
      <w:r w:rsidR="00FE2A68">
        <w:t xml:space="preserve"> that </w:t>
      </w:r>
      <w:r>
        <w:t>are</w:t>
      </w:r>
      <w:r w:rsidR="00FE2A68">
        <w:t xml:space="preserve"> </w:t>
      </w:r>
      <w:r>
        <w:t>scholarly</w:t>
      </w:r>
      <w:r w:rsidR="00FE2A68">
        <w:t xml:space="preserve">, </w:t>
      </w:r>
      <w:r>
        <w:t>multidisciplinary, and public policy relevant.</w:t>
      </w:r>
    </w:p>
    <w:p w14:paraId="6F669222" w14:textId="6FA6227D" w:rsidR="00FE2A68" w:rsidRDefault="004C4EA8" w:rsidP="004C4EA8">
      <w:pPr>
        <w:pStyle w:val="ListParagraph"/>
        <w:numPr>
          <w:ilvl w:val="0"/>
          <w:numId w:val="4"/>
        </w:numPr>
      </w:pPr>
      <w:r>
        <w:t>The</w:t>
      </w:r>
      <w:r w:rsidR="00FE2A68">
        <w:t xml:space="preserve"> format </w:t>
      </w:r>
      <w:r>
        <w:t>should be engaging and lend</w:t>
      </w:r>
      <w:r w:rsidR="00FE2A68">
        <w:t xml:space="preserve"> itself </w:t>
      </w:r>
      <w:r>
        <w:t>to audience contribution/</w:t>
      </w:r>
      <w:r w:rsidR="00FE2A68">
        <w:t>participa</w:t>
      </w:r>
      <w:r>
        <w:t>tion</w:t>
      </w:r>
      <w:r w:rsidR="009F115E">
        <w:t>, with sufficient time allowed for this in the program</w:t>
      </w:r>
      <w:r>
        <w:t>.</w:t>
      </w:r>
    </w:p>
    <w:p w14:paraId="18CDEA2E" w14:textId="4842265F" w:rsidR="00A90375" w:rsidRPr="00DE322B" w:rsidRDefault="004C4EA8" w:rsidP="004C4EA8">
      <w:pPr>
        <w:pStyle w:val="ListParagraph"/>
        <w:numPr>
          <w:ilvl w:val="0"/>
          <w:numId w:val="4"/>
        </w:numPr>
      </w:pPr>
      <w:r>
        <w:t xml:space="preserve">The content should be </w:t>
      </w:r>
      <w:r w:rsidR="00A90375" w:rsidRPr="00DE322B">
        <w:t>appropriate for an educated gen</w:t>
      </w:r>
      <w:r w:rsidR="007073E5">
        <w:t xml:space="preserve">eralist, rather than </w:t>
      </w:r>
      <w:r>
        <w:t xml:space="preserve">a </w:t>
      </w:r>
      <w:r w:rsidR="007073E5">
        <w:t>specialist</w:t>
      </w:r>
      <w:r w:rsidR="00A90375" w:rsidRPr="00DE322B">
        <w:t xml:space="preserve"> audience</w:t>
      </w:r>
      <w:r>
        <w:t>.</w:t>
      </w:r>
    </w:p>
    <w:p w14:paraId="2E9D97A4" w14:textId="4A4E9840" w:rsidR="00E70C96" w:rsidRPr="00DE322B" w:rsidRDefault="004C4EA8" w:rsidP="004C4EA8">
      <w:pPr>
        <w:pStyle w:val="ListParagraph"/>
        <w:numPr>
          <w:ilvl w:val="0"/>
          <w:numId w:val="4"/>
        </w:numPr>
      </w:pPr>
      <w:r>
        <w:t xml:space="preserve">Sessions should provide </w:t>
      </w:r>
      <w:r w:rsidR="00E70C96" w:rsidRPr="00DE322B">
        <w:t xml:space="preserve">an opportunity for balanced debate on an issue </w:t>
      </w:r>
      <w:r w:rsidR="00A90375" w:rsidRPr="00DE322B">
        <w:t xml:space="preserve">with </w:t>
      </w:r>
      <w:r w:rsidR="00E70C96" w:rsidRPr="00DE322B">
        <w:t>speakers represent</w:t>
      </w:r>
      <w:r w:rsidR="00A90375" w:rsidRPr="00DE322B">
        <w:t xml:space="preserve">ing the </w:t>
      </w:r>
      <w:r w:rsidR="00E70C96" w:rsidRPr="00DE322B">
        <w:t>different points of view</w:t>
      </w:r>
      <w:r w:rsidR="00A90375" w:rsidRPr="00DE322B">
        <w:t xml:space="preserve"> within the field</w:t>
      </w:r>
      <w:r w:rsidR="009F115E">
        <w:t>s</w:t>
      </w:r>
      <w:r>
        <w:t>.</w:t>
      </w:r>
    </w:p>
    <w:p w14:paraId="6ECF3981" w14:textId="72651A62" w:rsidR="00E70C96" w:rsidRPr="00DE322B" w:rsidRDefault="009F115E" w:rsidP="004C4EA8">
      <w:pPr>
        <w:pStyle w:val="ListParagraph"/>
        <w:numPr>
          <w:ilvl w:val="0"/>
          <w:numId w:val="4"/>
        </w:numPr>
      </w:pPr>
      <w:r>
        <w:t>S</w:t>
      </w:r>
      <w:r w:rsidR="00E70C96" w:rsidRPr="00DE322B">
        <w:t>peakers</w:t>
      </w:r>
      <w:r>
        <w:t xml:space="preserve"> should be</w:t>
      </w:r>
      <w:r w:rsidR="00E70C96" w:rsidRPr="00DE322B">
        <w:t xml:space="preserve"> drawn from a range of disciplines and institutions</w:t>
      </w:r>
      <w:r>
        <w:t xml:space="preserve"> and include relevant departmental representatives.</w:t>
      </w:r>
    </w:p>
    <w:p w14:paraId="1EDDFC48" w14:textId="115C5BB1" w:rsidR="00A90375" w:rsidRPr="00DE322B" w:rsidRDefault="00A90375" w:rsidP="004C4EA8">
      <w:pPr>
        <w:pStyle w:val="ListParagraph"/>
        <w:numPr>
          <w:ilvl w:val="0"/>
          <w:numId w:val="4"/>
        </w:numPr>
      </w:pPr>
      <w:r w:rsidRPr="00DE322B">
        <w:t xml:space="preserve">Where appropriate, </w:t>
      </w:r>
      <w:r w:rsidR="009F115E">
        <w:t>the sessions should incorporate i</w:t>
      </w:r>
      <w:r w:rsidRPr="00DE322B">
        <w:t>nternational perspectives</w:t>
      </w:r>
      <w:r w:rsidR="009F115E">
        <w:t xml:space="preserve">. </w:t>
      </w:r>
    </w:p>
    <w:p w14:paraId="081DB1A2" w14:textId="227ED3B5" w:rsidR="00FE2A68" w:rsidRDefault="009F115E" w:rsidP="004C4EA8">
      <w:pPr>
        <w:pStyle w:val="ListParagraph"/>
        <w:numPr>
          <w:ilvl w:val="0"/>
          <w:numId w:val="4"/>
        </w:numPr>
      </w:pPr>
      <w:r>
        <w:t xml:space="preserve">Consideration should be given of past Symposium topics and the need for novel, topical discussions. </w:t>
      </w:r>
    </w:p>
    <w:p w14:paraId="31AF5FFC" w14:textId="2BBFBBAE" w:rsidR="00F82093" w:rsidRDefault="00F82093" w:rsidP="00F82093">
      <w:r>
        <w:t xml:space="preserve">A </w:t>
      </w:r>
      <w:r w:rsidRPr="00F82093">
        <w:rPr>
          <w:b/>
        </w:rPr>
        <w:t>template</w:t>
      </w:r>
      <w:r>
        <w:t xml:space="preserve"> for Symposium proposals is provided at the end of this document. </w:t>
      </w:r>
    </w:p>
    <w:p w14:paraId="490033E7" w14:textId="04C9F1B6" w:rsidR="00DA5C70" w:rsidRDefault="00DA5C70" w:rsidP="00F82093">
      <w:r w:rsidRPr="00DA5C70">
        <w:rPr>
          <w:b/>
        </w:rPr>
        <w:t>Note:</w:t>
      </w:r>
      <w:r>
        <w:t xml:space="preserve"> </w:t>
      </w:r>
      <w:r w:rsidR="001D26EE">
        <w:rPr>
          <w:color w:val="000000"/>
        </w:rPr>
        <w:t>The 2020 Symposium is currently schedule for mid-November 2020. In line with ASSA's intention to rotate location and foster more national representation, the venue should be a capital city outside of Canberra. </w:t>
      </w:r>
    </w:p>
    <w:p w14:paraId="47879944" w14:textId="5253B1D9" w:rsidR="008F071C" w:rsidRDefault="008F071C" w:rsidP="008F071C">
      <w:pPr>
        <w:pStyle w:val="Heading1"/>
      </w:pPr>
      <w:r>
        <w:t>Conveners</w:t>
      </w:r>
    </w:p>
    <w:p w14:paraId="4F64350A" w14:textId="308CDD5D" w:rsidR="008F071C" w:rsidRDefault="008F071C" w:rsidP="008F071C">
      <w:r>
        <w:t xml:space="preserve">The </w:t>
      </w:r>
      <w:r w:rsidR="009F115E">
        <w:t xml:space="preserve">Convenors are responsible for </w:t>
      </w:r>
      <w:proofErr w:type="spellStart"/>
      <w:r>
        <w:t>organisation</w:t>
      </w:r>
      <w:proofErr w:type="spellEnd"/>
      <w:r>
        <w:t>, planning, delivery and follow-up</w:t>
      </w:r>
      <w:r w:rsidR="009F115E">
        <w:t xml:space="preserve"> o</w:t>
      </w:r>
      <w:r>
        <w:t>f the Symposium</w:t>
      </w:r>
      <w:r w:rsidR="009F115E">
        <w:t>, with administrative support provided by the Academy</w:t>
      </w:r>
      <w:r>
        <w:t xml:space="preserve">. </w:t>
      </w:r>
      <w:r w:rsidR="009F115E">
        <w:t>Given the workload, it is recommended that each Symposium have two to three Co-Convenors, one of which should be a</w:t>
      </w:r>
      <w:r>
        <w:t xml:space="preserve"> Fellow of the Academy. </w:t>
      </w:r>
    </w:p>
    <w:p w14:paraId="54F2EE88" w14:textId="6A84AACA" w:rsidR="008F071C" w:rsidRDefault="009F115E" w:rsidP="008F071C">
      <w:r>
        <w:t>The role of the C</w:t>
      </w:r>
      <w:r w:rsidR="008F071C">
        <w:t xml:space="preserve">onvener includes but </w:t>
      </w:r>
      <w:r>
        <w:t xml:space="preserve">is </w:t>
      </w:r>
      <w:r w:rsidR="008F071C">
        <w:t>not restricted to:</w:t>
      </w:r>
    </w:p>
    <w:p w14:paraId="764BAFE7" w14:textId="2615C29A" w:rsidR="008F071C" w:rsidRDefault="008F071C" w:rsidP="008F071C">
      <w:pPr>
        <w:pStyle w:val="ListParagraph"/>
        <w:numPr>
          <w:ilvl w:val="0"/>
          <w:numId w:val="3"/>
        </w:numPr>
      </w:pPr>
      <w:r>
        <w:t>Scoping the Symposium including budgets</w:t>
      </w:r>
      <w:r w:rsidR="009F115E">
        <w:t>.</w:t>
      </w:r>
    </w:p>
    <w:p w14:paraId="19F053A2" w14:textId="2AC6C239" w:rsidR="008F071C" w:rsidRDefault="008F071C" w:rsidP="008F071C">
      <w:pPr>
        <w:pStyle w:val="ListParagraph"/>
        <w:numPr>
          <w:ilvl w:val="0"/>
          <w:numId w:val="3"/>
        </w:numPr>
      </w:pPr>
      <w:r>
        <w:t xml:space="preserve">Developing the Symposium program in consultation with the </w:t>
      </w:r>
      <w:r w:rsidR="009F115E">
        <w:t>Academy and Committee.</w:t>
      </w:r>
    </w:p>
    <w:p w14:paraId="39AF90DD" w14:textId="01353063" w:rsidR="008F071C" w:rsidRDefault="008F071C" w:rsidP="008F071C">
      <w:pPr>
        <w:pStyle w:val="ListParagraph"/>
        <w:numPr>
          <w:ilvl w:val="0"/>
          <w:numId w:val="3"/>
        </w:numPr>
      </w:pPr>
      <w:r>
        <w:t>Ide</w:t>
      </w:r>
      <w:r w:rsidR="009F115E">
        <w:t xml:space="preserve">ntifying and inviting speakers and presenters. </w:t>
      </w:r>
    </w:p>
    <w:p w14:paraId="2CADEAD5" w14:textId="5341706B" w:rsidR="008F071C" w:rsidRDefault="009F115E" w:rsidP="008F071C">
      <w:pPr>
        <w:pStyle w:val="ListParagraph"/>
        <w:numPr>
          <w:ilvl w:val="0"/>
          <w:numId w:val="3"/>
        </w:numPr>
      </w:pPr>
      <w:r>
        <w:t xml:space="preserve">Provide guidance to speakers on the development of content, where required. </w:t>
      </w:r>
    </w:p>
    <w:p w14:paraId="24C2B08D" w14:textId="1082890C" w:rsidR="008F071C" w:rsidRDefault="008F071C" w:rsidP="008F071C">
      <w:pPr>
        <w:pStyle w:val="ListParagraph"/>
        <w:numPr>
          <w:ilvl w:val="0"/>
          <w:numId w:val="3"/>
        </w:numPr>
      </w:pPr>
      <w:r>
        <w:t>Develop and support the promotion/publicity of the Symposium</w:t>
      </w:r>
      <w:r w:rsidR="009F115E">
        <w:t>.</w:t>
      </w:r>
      <w:r>
        <w:t xml:space="preserve"> </w:t>
      </w:r>
    </w:p>
    <w:p w14:paraId="2B6A949E" w14:textId="1AE627D7" w:rsidR="008F071C" w:rsidRDefault="009F115E" w:rsidP="008F071C">
      <w:pPr>
        <w:pStyle w:val="ListParagraph"/>
        <w:numPr>
          <w:ilvl w:val="0"/>
          <w:numId w:val="3"/>
        </w:numPr>
      </w:pPr>
      <w:r>
        <w:lastRenderedPageBreak/>
        <w:t>Convene</w:t>
      </w:r>
      <w:r w:rsidR="008F071C">
        <w:t xml:space="preserve"> the Symposium</w:t>
      </w:r>
      <w:r>
        <w:t xml:space="preserve"> and present content (in most cases).</w:t>
      </w:r>
      <w:r w:rsidR="008F071C">
        <w:t xml:space="preserve"> </w:t>
      </w:r>
    </w:p>
    <w:p w14:paraId="06B5A795" w14:textId="408BF715" w:rsidR="008F071C" w:rsidRDefault="008F071C" w:rsidP="004C01B5">
      <w:pPr>
        <w:pStyle w:val="ListParagraph"/>
        <w:numPr>
          <w:ilvl w:val="0"/>
          <w:numId w:val="3"/>
        </w:numPr>
      </w:pPr>
      <w:r>
        <w:t>Coordinating Outcomes and Products from the Symposium e.g. Publication, Communique etc.</w:t>
      </w:r>
    </w:p>
    <w:p w14:paraId="4AB6A667" w14:textId="77777777" w:rsidR="00DA5C70" w:rsidRPr="008F071C" w:rsidRDefault="00DA5C70" w:rsidP="00DA5C70"/>
    <w:p w14:paraId="2D60454D" w14:textId="77777777" w:rsidR="00514A12" w:rsidRPr="00363BD5" w:rsidRDefault="00514A12" w:rsidP="00363BD5">
      <w:pPr>
        <w:pStyle w:val="Heading1"/>
      </w:pPr>
      <w:r w:rsidRPr="00363BD5">
        <w:t>Budget</w:t>
      </w:r>
    </w:p>
    <w:p w14:paraId="614F6227" w14:textId="3029C9DB" w:rsidR="00514A12" w:rsidRPr="005162DC" w:rsidRDefault="00A90375" w:rsidP="00363BD5">
      <w:r w:rsidRPr="005162DC">
        <w:t>The Academy’s budget for Symposia normally covers the costs of domestic</w:t>
      </w:r>
      <w:r w:rsidR="00514A12" w:rsidRPr="005162DC">
        <w:t xml:space="preserve"> return economy fares</w:t>
      </w:r>
      <w:r w:rsidRPr="005162DC">
        <w:t xml:space="preserve"> and accommodation for up to 12 speakers, chairs and convenors</w:t>
      </w:r>
      <w:r w:rsidR="0006638F" w:rsidRPr="005162DC">
        <w:t xml:space="preserve">. </w:t>
      </w:r>
      <w:r w:rsidR="005162DC" w:rsidRPr="005162DC">
        <w:t>There may be scope to increase this numbe</w:t>
      </w:r>
      <w:r w:rsidR="005162DC">
        <w:t xml:space="preserve">r or </w:t>
      </w:r>
      <w:r w:rsidR="008F071C">
        <w:t xml:space="preserve">include an </w:t>
      </w:r>
      <w:r w:rsidR="005162DC">
        <w:t>international speakers</w:t>
      </w:r>
      <w:r w:rsidR="00514A12" w:rsidRPr="005162DC">
        <w:t xml:space="preserve"> </w:t>
      </w:r>
      <w:r w:rsidR="005162DC">
        <w:t>i</w:t>
      </w:r>
      <w:r w:rsidR="00514A12" w:rsidRPr="005162DC">
        <w:t>f proposers are able to attract additional sourc</w:t>
      </w:r>
      <w:r w:rsidR="005162DC">
        <w:t>es of funding for the Symposium or other cost sharing arrangements</w:t>
      </w:r>
      <w:r w:rsidR="00514A12" w:rsidRPr="005162DC">
        <w:t xml:space="preserve">. Travel </w:t>
      </w:r>
      <w:r w:rsidR="005162DC">
        <w:t xml:space="preserve">arrangements are made </w:t>
      </w:r>
      <w:r w:rsidR="00514A12" w:rsidRPr="005162DC">
        <w:t>through the Academy’s travel agent</w:t>
      </w:r>
      <w:r w:rsidR="005162DC">
        <w:t>.</w:t>
      </w:r>
    </w:p>
    <w:p w14:paraId="3D756170" w14:textId="281461DB" w:rsidR="0006638F" w:rsidRPr="005162DC" w:rsidRDefault="0006638F" w:rsidP="00363BD5">
      <w:r w:rsidRPr="005162DC">
        <w:t xml:space="preserve">The Academy </w:t>
      </w:r>
      <w:r w:rsidRPr="005162DC">
        <w:rPr>
          <w:u w:val="single"/>
        </w:rPr>
        <w:t>does not pay honoraria or per diem allowances</w:t>
      </w:r>
      <w:r w:rsidRPr="005162DC">
        <w:t xml:space="preserve"> for Symposium </w:t>
      </w:r>
      <w:r w:rsidR="00514A12" w:rsidRPr="005162DC">
        <w:t>speakers</w:t>
      </w:r>
      <w:r w:rsidR="009F115E">
        <w:t>. A</w:t>
      </w:r>
      <w:r w:rsidRPr="005162DC">
        <w:t>ccommodation is provided at University House</w:t>
      </w:r>
      <w:r w:rsidR="00514A12" w:rsidRPr="005162DC">
        <w:t xml:space="preserve"> (or equivalent</w:t>
      </w:r>
      <w:r w:rsidR="009F115E">
        <w:t xml:space="preserve">). Speakers and </w:t>
      </w:r>
      <w:proofErr w:type="spellStart"/>
      <w:r w:rsidR="009F115E">
        <w:t>Convenor</w:t>
      </w:r>
      <w:proofErr w:type="spellEnd"/>
      <w:r w:rsidR="009F115E">
        <w:t xml:space="preserve"> travel to the city in which the Symposium is held i</w:t>
      </w:r>
      <w:r w:rsidR="00FE2A68">
        <w:t>s b</w:t>
      </w:r>
      <w:r w:rsidR="009F115E">
        <w:t>ased on “best fare of the day” economy class tickets for domestic travel</w:t>
      </w:r>
      <w:r w:rsidRPr="005162DC">
        <w:t>.</w:t>
      </w:r>
    </w:p>
    <w:p w14:paraId="5B27D569" w14:textId="6D925D2D" w:rsidR="00514A12" w:rsidRPr="00DE322B" w:rsidRDefault="00D47C72" w:rsidP="00363BD5">
      <w:pPr>
        <w:pStyle w:val="Heading1"/>
      </w:pPr>
      <w:r>
        <w:t>Proposal S</w:t>
      </w:r>
      <w:r w:rsidR="00514A12" w:rsidRPr="00DE322B">
        <w:t>election</w:t>
      </w:r>
    </w:p>
    <w:p w14:paraId="2233012D" w14:textId="5CED4F43" w:rsidR="00514A12" w:rsidRPr="00DE322B" w:rsidRDefault="00514A12" w:rsidP="00363BD5">
      <w:r w:rsidRPr="00DE322B">
        <w:t xml:space="preserve">All proposals received before </w:t>
      </w:r>
      <w:r w:rsidR="007073E5">
        <w:t>the deadline will be considered</w:t>
      </w:r>
      <w:r w:rsidRPr="00DE322B">
        <w:t xml:space="preserve"> at the Executive Committee m</w:t>
      </w:r>
      <w:r w:rsidR="00AD7F43" w:rsidRPr="00DE322B">
        <w:t>eeting in August</w:t>
      </w:r>
      <w:r w:rsidRPr="00DE322B">
        <w:t>.</w:t>
      </w:r>
      <w:r w:rsidR="00D47C72">
        <w:t xml:space="preserve"> The Executive Committee may, for competitive proposals, survey all Fellows for their preferred topic from the proposals received.</w:t>
      </w:r>
      <w:r w:rsidR="00FE2A68" w:rsidRPr="00DE322B">
        <w:t> </w:t>
      </w:r>
    </w:p>
    <w:p w14:paraId="19C0E1A2" w14:textId="77777777" w:rsidR="00514A12" w:rsidRPr="00DE322B" w:rsidRDefault="00514A12" w:rsidP="00363BD5">
      <w:pPr>
        <w:pStyle w:val="Heading1"/>
      </w:pPr>
      <w:r w:rsidRPr="00DE322B">
        <w:t>Organisation and coordination</w:t>
      </w:r>
    </w:p>
    <w:p w14:paraId="179CC5DE" w14:textId="4FF37779" w:rsidR="00514A12" w:rsidRPr="00DE322B" w:rsidRDefault="00514A12" w:rsidP="00363BD5">
      <w:r w:rsidRPr="00DE322B">
        <w:t xml:space="preserve">The Convenors work closely with the </w:t>
      </w:r>
      <w:proofErr w:type="spellStart"/>
      <w:r w:rsidRPr="00DE322B">
        <w:t>P</w:t>
      </w:r>
      <w:r w:rsidR="00D47C72">
        <w:t>F&amp;C</w:t>
      </w:r>
      <w:proofErr w:type="spellEnd"/>
      <w:r w:rsidRPr="00DE322B">
        <w:t xml:space="preserve"> Committee, through the Chair, and the Public </w:t>
      </w:r>
      <w:r w:rsidR="00D47C72">
        <w:t>Engagement Manager</w:t>
      </w:r>
      <w:r w:rsidRPr="00DE322B">
        <w:t xml:space="preserve"> in planning and preparation for the Symposium.</w:t>
      </w:r>
      <w:r w:rsidR="00F82093">
        <w:t xml:space="preserve"> </w:t>
      </w:r>
    </w:p>
    <w:p w14:paraId="745F8A18" w14:textId="77777777" w:rsidR="0006638F" w:rsidRPr="00DE322B" w:rsidRDefault="00514A12" w:rsidP="00363BD5">
      <w:pPr>
        <w:pStyle w:val="Heading1"/>
      </w:pPr>
      <w:r w:rsidRPr="00DE322B">
        <w:t>Timelines</w:t>
      </w:r>
    </w:p>
    <w:p w14:paraId="1041C09E" w14:textId="77777777" w:rsidR="00AD7F43" w:rsidRPr="00CB5517" w:rsidRDefault="00AD7F43" w:rsidP="00DA5C70">
      <w:pPr>
        <w:pStyle w:val="Heading2"/>
        <w:numPr>
          <w:ilvl w:val="0"/>
          <w:numId w:val="5"/>
        </w:numPr>
        <w:ind w:left="709"/>
      </w:pPr>
      <w:r w:rsidRPr="00CB5517">
        <w:t>In the year before the symposium</w:t>
      </w:r>
    </w:p>
    <w:p w14:paraId="458737A7" w14:textId="46BB31F8" w:rsidR="00AD7F43" w:rsidRDefault="004D184A" w:rsidP="00DA5C70">
      <w:pPr>
        <w:pStyle w:val="ListParagraph"/>
        <w:numPr>
          <w:ilvl w:val="0"/>
          <w:numId w:val="6"/>
        </w:numPr>
      </w:pPr>
      <w:r>
        <w:rPr>
          <w:b/>
        </w:rPr>
        <w:t>May/</w:t>
      </w:r>
      <w:r w:rsidR="00F82093" w:rsidRPr="00DA5C70">
        <w:rPr>
          <w:b/>
        </w:rPr>
        <w:t>June:</w:t>
      </w:r>
      <w:r w:rsidR="00AD7F43" w:rsidRPr="00DA5C70">
        <w:rPr>
          <w:b/>
        </w:rPr>
        <w:t xml:space="preserve"> </w:t>
      </w:r>
      <w:r w:rsidR="00AD7F43" w:rsidRPr="00DE322B">
        <w:t>Call for Proposals for the following year’s Symposium</w:t>
      </w:r>
    </w:p>
    <w:p w14:paraId="6F6EDBBB" w14:textId="1EABE145" w:rsidR="00CB5517" w:rsidRDefault="00F82093" w:rsidP="00DA5C70">
      <w:pPr>
        <w:pStyle w:val="ListParagraph"/>
        <w:numPr>
          <w:ilvl w:val="0"/>
          <w:numId w:val="6"/>
        </w:numPr>
      </w:pPr>
      <w:r w:rsidRPr="00DA5C70">
        <w:rPr>
          <w:b/>
        </w:rPr>
        <w:t>July (late):</w:t>
      </w:r>
      <w:r w:rsidR="00CB5517">
        <w:t xml:space="preserve"> Deadline for proposal submission</w:t>
      </w:r>
    </w:p>
    <w:p w14:paraId="0AF07B84" w14:textId="17332EA8" w:rsidR="00CB5517" w:rsidRPr="00CB5517" w:rsidRDefault="00F82093" w:rsidP="00DA5C70">
      <w:pPr>
        <w:pStyle w:val="ListParagraph"/>
        <w:numPr>
          <w:ilvl w:val="0"/>
          <w:numId w:val="6"/>
        </w:numPr>
      </w:pPr>
      <w:r w:rsidRPr="00DA5C70">
        <w:rPr>
          <w:b/>
        </w:rPr>
        <w:t xml:space="preserve">August: </w:t>
      </w:r>
      <w:r w:rsidR="00CB5517">
        <w:t>Public Forums Committee considers and makes recommendation to Executive Committee.</w:t>
      </w:r>
    </w:p>
    <w:p w14:paraId="46BF1DB1" w14:textId="75F645D5" w:rsidR="00514A12" w:rsidRPr="00DE322B" w:rsidRDefault="00F82093" w:rsidP="00DA5C70">
      <w:pPr>
        <w:pStyle w:val="ListParagraph"/>
        <w:numPr>
          <w:ilvl w:val="0"/>
          <w:numId w:val="6"/>
        </w:numPr>
      </w:pPr>
      <w:r w:rsidRPr="00DA5C70">
        <w:rPr>
          <w:b/>
        </w:rPr>
        <w:t>October:</w:t>
      </w:r>
      <w:r w:rsidR="00514A12" w:rsidRPr="00DA5C70">
        <w:rPr>
          <w:b/>
        </w:rPr>
        <w:t xml:space="preserve"> </w:t>
      </w:r>
      <w:r w:rsidR="00AD7F43" w:rsidRPr="00DE322B">
        <w:t>Proposers notified of selection outcome.</w:t>
      </w:r>
    </w:p>
    <w:p w14:paraId="2CE2E59F" w14:textId="371E7978" w:rsidR="00AD7F43" w:rsidRPr="00CB5517" w:rsidRDefault="00AD7F43" w:rsidP="00DA5C70">
      <w:pPr>
        <w:pStyle w:val="Heading2"/>
        <w:numPr>
          <w:ilvl w:val="0"/>
          <w:numId w:val="5"/>
        </w:numPr>
        <w:ind w:left="709"/>
      </w:pPr>
      <w:r w:rsidRPr="00CB5517">
        <w:t xml:space="preserve">In the year of the Symposium </w:t>
      </w:r>
      <w:r w:rsidR="00FE2A68">
        <w:t>(Broad timelines)</w:t>
      </w:r>
    </w:p>
    <w:p w14:paraId="178FC1D5" w14:textId="0EBD7077" w:rsidR="00514A12" w:rsidRPr="00DE322B" w:rsidRDefault="00F82093" w:rsidP="00DA5C70">
      <w:pPr>
        <w:pStyle w:val="ListParagraph"/>
        <w:numPr>
          <w:ilvl w:val="0"/>
          <w:numId w:val="7"/>
        </w:numPr>
      </w:pPr>
      <w:r w:rsidRPr="00DA5C70">
        <w:rPr>
          <w:b/>
        </w:rPr>
        <w:t xml:space="preserve">January – May: </w:t>
      </w:r>
      <w:r w:rsidR="00514A12" w:rsidRPr="00DE322B">
        <w:t>Proposers to develop and finalise detailed program, liaise with speakers, and advise the</w:t>
      </w:r>
      <w:r w:rsidR="00363BD5">
        <w:t>m of the nature of the Academy Symposium.</w:t>
      </w:r>
    </w:p>
    <w:p w14:paraId="010BBD48" w14:textId="4928F3E4" w:rsidR="00514A12" w:rsidRPr="00DE322B" w:rsidRDefault="00514A12" w:rsidP="00DA5C70">
      <w:pPr>
        <w:pStyle w:val="ListParagraph"/>
        <w:numPr>
          <w:ilvl w:val="0"/>
          <w:numId w:val="7"/>
        </w:numPr>
      </w:pPr>
      <w:r w:rsidRPr="00DA5C70">
        <w:rPr>
          <w:b/>
        </w:rPr>
        <w:t>June</w:t>
      </w:r>
      <w:r w:rsidR="00F82093" w:rsidRPr="00DA5C70">
        <w:rPr>
          <w:b/>
        </w:rPr>
        <w:t xml:space="preserve"> (late):</w:t>
      </w:r>
      <w:r w:rsidR="00363BD5" w:rsidRPr="00DA5C70">
        <w:rPr>
          <w:b/>
        </w:rPr>
        <w:t xml:space="preserve"> </w:t>
      </w:r>
      <w:r w:rsidR="00F82093">
        <w:t>All program details finalis</w:t>
      </w:r>
      <w:r w:rsidRPr="00DE322B">
        <w:t>ed for p</w:t>
      </w:r>
      <w:r w:rsidR="00F82093">
        <w:t>romotion</w:t>
      </w:r>
      <w:r w:rsidRPr="00DE322B">
        <w:t xml:space="preserve"> (speakers and session chairs confirmed, ti</w:t>
      </w:r>
      <w:r w:rsidR="00F82093">
        <w:t>metable set, description finalis</w:t>
      </w:r>
      <w:r w:rsidRPr="00DE322B">
        <w:t>ed).</w:t>
      </w:r>
    </w:p>
    <w:p w14:paraId="705A96BF" w14:textId="0B97B482" w:rsidR="00514A12" w:rsidRPr="00DE322B" w:rsidRDefault="00514A12" w:rsidP="00DA5C70">
      <w:pPr>
        <w:pStyle w:val="ListParagraph"/>
        <w:numPr>
          <w:ilvl w:val="0"/>
          <w:numId w:val="7"/>
        </w:numPr>
      </w:pPr>
      <w:r w:rsidRPr="00DA5C70">
        <w:rPr>
          <w:b/>
        </w:rPr>
        <w:t>July</w:t>
      </w:r>
      <w:r w:rsidR="00F82093" w:rsidRPr="00DA5C70">
        <w:rPr>
          <w:b/>
        </w:rPr>
        <w:t>:</w:t>
      </w:r>
      <w:r w:rsidR="00363BD5" w:rsidRPr="00DA5C70">
        <w:rPr>
          <w:b/>
        </w:rPr>
        <w:t xml:space="preserve"> </w:t>
      </w:r>
      <w:r w:rsidR="00F82093">
        <w:t>Academy prepares promotional material and formal program in consultation with Convenors. Public Engagement Manager contacts speakers to coordinate travel arrangements.</w:t>
      </w:r>
    </w:p>
    <w:p w14:paraId="240591B8" w14:textId="60C605DC" w:rsidR="00514A12" w:rsidRPr="00DE322B" w:rsidRDefault="00363BD5" w:rsidP="00DA5C70">
      <w:pPr>
        <w:pStyle w:val="ListParagraph"/>
        <w:numPr>
          <w:ilvl w:val="0"/>
          <w:numId w:val="7"/>
        </w:numPr>
      </w:pPr>
      <w:r w:rsidRPr="00DA5C70">
        <w:rPr>
          <w:b/>
        </w:rPr>
        <w:lastRenderedPageBreak/>
        <w:t>August</w:t>
      </w:r>
      <w:r w:rsidR="00F82093" w:rsidRPr="00DA5C70">
        <w:rPr>
          <w:b/>
        </w:rPr>
        <w:t xml:space="preserve"> (early): </w:t>
      </w:r>
      <w:r w:rsidR="00514A12" w:rsidRPr="00DE322B">
        <w:t>Travel arra</w:t>
      </w:r>
      <w:r w:rsidR="00F82093">
        <w:t>ngements for speakers, chairs, C</w:t>
      </w:r>
      <w:r w:rsidR="00514A12" w:rsidRPr="00DE322B">
        <w:t>onvenors finalised (especially overseas speakers)</w:t>
      </w:r>
      <w:r>
        <w:t>.</w:t>
      </w:r>
      <w:r w:rsidR="00FE11A1">
        <w:t xml:space="preserve"> </w:t>
      </w:r>
      <w:r w:rsidR="00F82093">
        <w:t>Program and promotional material and marketing plan finalised</w:t>
      </w:r>
      <w:r w:rsidR="00514A12" w:rsidRPr="00DE322B">
        <w:t>.</w:t>
      </w:r>
    </w:p>
    <w:p w14:paraId="06878298" w14:textId="5317EE42" w:rsidR="00514A12" w:rsidRPr="00DE322B" w:rsidRDefault="00514A12" w:rsidP="00DA5C70">
      <w:pPr>
        <w:pStyle w:val="ListParagraph"/>
        <w:numPr>
          <w:ilvl w:val="0"/>
          <w:numId w:val="7"/>
        </w:numPr>
      </w:pPr>
      <w:r w:rsidRPr="00DA5C70">
        <w:rPr>
          <w:b/>
        </w:rPr>
        <w:t>August</w:t>
      </w:r>
      <w:r w:rsidR="00F82093" w:rsidRPr="00DA5C70">
        <w:rPr>
          <w:b/>
        </w:rPr>
        <w:t xml:space="preserve"> (late):</w:t>
      </w:r>
      <w:r w:rsidR="00FE11A1" w:rsidRPr="00DA5C70">
        <w:rPr>
          <w:b/>
        </w:rPr>
        <w:t xml:space="preserve"> </w:t>
      </w:r>
      <w:r w:rsidR="00F82093">
        <w:t>Registrations open, special invitations to VIPs issued, promotional material distributed as per marketing plan.</w:t>
      </w:r>
    </w:p>
    <w:p w14:paraId="17A9B85E" w14:textId="2B615251" w:rsidR="00514A12" w:rsidRPr="00DE322B" w:rsidRDefault="00514A12" w:rsidP="00DA5C70">
      <w:pPr>
        <w:pStyle w:val="ListParagraph"/>
        <w:numPr>
          <w:ilvl w:val="0"/>
          <w:numId w:val="7"/>
        </w:numPr>
      </w:pPr>
      <w:r w:rsidRPr="00DA5C70">
        <w:rPr>
          <w:b/>
        </w:rPr>
        <w:t>September</w:t>
      </w:r>
      <w:r w:rsidR="00F82093" w:rsidRPr="00DA5C70">
        <w:rPr>
          <w:b/>
        </w:rPr>
        <w:t xml:space="preserve">: </w:t>
      </w:r>
      <w:r w:rsidR="00F82093">
        <w:t xml:space="preserve">Early-bird pricing, to cease one month prior to event. </w:t>
      </w:r>
    </w:p>
    <w:p w14:paraId="6512BBFF" w14:textId="0DCB53EC" w:rsidR="00E70C96" w:rsidRDefault="00AD7F43" w:rsidP="00DA5C70">
      <w:pPr>
        <w:pStyle w:val="ListParagraph"/>
        <w:numPr>
          <w:ilvl w:val="0"/>
          <w:numId w:val="7"/>
        </w:numPr>
      </w:pPr>
      <w:r w:rsidRPr="00DA5C70">
        <w:rPr>
          <w:b/>
        </w:rPr>
        <w:t>November</w:t>
      </w:r>
      <w:r w:rsidR="00F82093" w:rsidRPr="00DA5C70">
        <w:rPr>
          <w:b/>
        </w:rPr>
        <w:t>:</w:t>
      </w:r>
      <w:r w:rsidR="00363BD5" w:rsidRPr="00DA5C70">
        <w:rPr>
          <w:b/>
        </w:rPr>
        <w:t xml:space="preserve"> </w:t>
      </w:r>
      <w:r w:rsidRPr="00DE322B">
        <w:t>Symposium event is held</w:t>
      </w:r>
      <w:r w:rsidR="00DA5C70">
        <w:t>.</w:t>
      </w:r>
    </w:p>
    <w:p w14:paraId="0BDA247E" w14:textId="77777777" w:rsidR="00DA5C70" w:rsidRDefault="00DA5C70" w:rsidP="00F82093">
      <w:pPr>
        <w:spacing w:after="120" w:line="240" w:lineRule="auto"/>
        <w:jc w:val="both"/>
        <w:rPr>
          <w:b/>
          <w:u w:val="single"/>
        </w:rPr>
      </w:pPr>
    </w:p>
    <w:p w14:paraId="02A36F7F" w14:textId="09E83586" w:rsidR="00F82093" w:rsidRPr="00F82093" w:rsidRDefault="00F82093" w:rsidP="00DA5C70">
      <w:pPr>
        <w:pStyle w:val="Heading1"/>
      </w:pPr>
      <w:r w:rsidRPr="00F82093">
        <w:t>P</w:t>
      </w:r>
      <w:r w:rsidR="00DA5C70">
        <w:t>ast Symposium Titles</w:t>
      </w:r>
    </w:p>
    <w:p w14:paraId="1258ADA9" w14:textId="6F0ADE5F" w:rsidR="00DA5C70" w:rsidRDefault="00DA5C70" w:rsidP="00F82093">
      <w:r w:rsidRPr="00DA5C70">
        <w:rPr>
          <w:b/>
        </w:rPr>
        <w:t>2019:</w:t>
      </w:r>
      <w:r>
        <w:t xml:space="preserve"> Saving People and the Planet: exiting the </w:t>
      </w:r>
      <w:proofErr w:type="spellStart"/>
      <w:r>
        <w:t>consumptagenic</w:t>
      </w:r>
      <w:proofErr w:type="spellEnd"/>
      <w:r>
        <w:t xml:space="preserve"> system (</w:t>
      </w:r>
      <w:proofErr w:type="spellStart"/>
      <w:r>
        <w:t>TBC</w:t>
      </w:r>
      <w:proofErr w:type="spellEnd"/>
      <w:r>
        <w:t>)</w:t>
      </w:r>
    </w:p>
    <w:p w14:paraId="3AC39283" w14:textId="7BD890AA" w:rsidR="00DA5C70" w:rsidRDefault="00DA5C70" w:rsidP="00F82093">
      <w:r w:rsidRPr="00DA5C70">
        <w:rPr>
          <w:b/>
        </w:rPr>
        <w:t>2018:</w:t>
      </w:r>
      <w:r>
        <w:t xml:space="preserve"> Regenerating Trust and Equity in Australian Institutions</w:t>
      </w:r>
    </w:p>
    <w:p w14:paraId="0AA4A5DA" w14:textId="3DE5FA64" w:rsidR="00DA5C70" w:rsidRDefault="00DA5C70" w:rsidP="00F82093">
      <w:r w:rsidRPr="00DA5C70">
        <w:rPr>
          <w:b/>
        </w:rPr>
        <w:t>2017:</w:t>
      </w:r>
      <w:r>
        <w:t xml:space="preserve"> Health Equity: Challenges and solutions</w:t>
      </w:r>
    </w:p>
    <w:p w14:paraId="676AF4BF" w14:textId="68E1304C" w:rsidR="00F82093" w:rsidRPr="00F82093" w:rsidRDefault="00DA5C70" w:rsidP="00F82093">
      <w:r w:rsidRPr="00DA5C70">
        <w:rPr>
          <w:b/>
        </w:rPr>
        <w:t>2016:</w:t>
      </w:r>
      <w:r>
        <w:t xml:space="preserve"> </w:t>
      </w:r>
      <w:r w:rsidR="00F82093" w:rsidRPr="00F82093">
        <w:t>Social Sciences: Understanding policy impacts</w:t>
      </w:r>
    </w:p>
    <w:p w14:paraId="0D3C2758" w14:textId="7D0D89E4" w:rsidR="00F82093" w:rsidRPr="00F82093" w:rsidRDefault="00DA5C70" w:rsidP="00F82093">
      <w:r w:rsidRPr="00DA5C70">
        <w:rPr>
          <w:b/>
        </w:rPr>
        <w:t>2015:</w:t>
      </w:r>
      <w:r>
        <w:t xml:space="preserve"> </w:t>
      </w:r>
      <w:r w:rsidR="00F82093" w:rsidRPr="00F82093">
        <w:t xml:space="preserve">Social Insurance for the 21st Century? : Exploring pathways for a sustainable, equitable and </w:t>
      </w:r>
      <w:r>
        <w:tab/>
      </w:r>
      <w:r w:rsidR="00F82093" w:rsidRPr="00F82093">
        <w:t>effective welfare system</w:t>
      </w:r>
    </w:p>
    <w:p w14:paraId="57BE1A48" w14:textId="7211963A" w:rsidR="00F82093" w:rsidRPr="00F82093" w:rsidRDefault="00DA5C70" w:rsidP="00F82093">
      <w:r w:rsidRPr="00DA5C70">
        <w:rPr>
          <w:b/>
        </w:rPr>
        <w:t>2014:</w:t>
      </w:r>
      <w:r>
        <w:t xml:space="preserve"> </w:t>
      </w:r>
      <w:r w:rsidR="00F82093" w:rsidRPr="00F82093">
        <w:t>Population ageing and Australia's future</w:t>
      </w:r>
    </w:p>
    <w:p w14:paraId="330328A7" w14:textId="1F24A9AE" w:rsidR="00F82093" w:rsidRPr="00F82093" w:rsidRDefault="00DA5C70" w:rsidP="00F82093">
      <w:r w:rsidRPr="00DA5C70">
        <w:rPr>
          <w:b/>
        </w:rPr>
        <w:t>2013:</w:t>
      </w:r>
      <w:r>
        <w:t xml:space="preserve"> </w:t>
      </w:r>
      <w:r w:rsidR="00F82093" w:rsidRPr="00F82093">
        <w:t>Levelling the spirit: Addressing the social impacts of economic inequality</w:t>
      </w:r>
    </w:p>
    <w:p w14:paraId="1B3B691C" w14:textId="577C1619" w:rsidR="00F82093" w:rsidRPr="00F82093" w:rsidRDefault="00DA5C70" w:rsidP="00F82093">
      <w:r w:rsidRPr="00DA5C70">
        <w:rPr>
          <w:b/>
        </w:rPr>
        <w:t>2012:</w:t>
      </w:r>
      <w:r>
        <w:t xml:space="preserve"> </w:t>
      </w:r>
      <w:r w:rsidR="00F82093" w:rsidRPr="00F82093">
        <w:t>Australian social sciences in the Asian century</w:t>
      </w:r>
    </w:p>
    <w:p w14:paraId="513C13DD" w14:textId="1D41CF9B" w:rsidR="00F82093" w:rsidRPr="00F82093" w:rsidRDefault="00DA5C70" w:rsidP="00F82093">
      <w:r w:rsidRPr="00DA5C70">
        <w:rPr>
          <w:b/>
        </w:rPr>
        <w:t>2011:</w:t>
      </w:r>
      <w:r>
        <w:t xml:space="preserve"> </w:t>
      </w:r>
      <w:r w:rsidR="00F82093" w:rsidRPr="00F82093">
        <w:t>Food regimes and food security</w:t>
      </w:r>
    </w:p>
    <w:p w14:paraId="08D2E413" w14:textId="50933AC3" w:rsidR="00F82093" w:rsidRPr="00F82093" w:rsidRDefault="00DA5C70" w:rsidP="00F82093">
      <w:r w:rsidRPr="00DA5C70">
        <w:rPr>
          <w:b/>
        </w:rPr>
        <w:t>2010:</w:t>
      </w:r>
      <w:r>
        <w:t xml:space="preserve"> </w:t>
      </w:r>
      <w:r w:rsidR="00F82093" w:rsidRPr="00F82093">
        <w:t xml:space="preserve">Family fortunes and the Global Financial Crisis: The consequences of an economic downturn </w:t>
      </w:r>
      <w:r w:rsidR="00F82093" w:rsidRPr="00F82093">
        <w:tab/>
        <w:t xml:space="preserve">  </w:t>
      </w:r>
      <w:r w:rsidR="00F82093" w:rsidRPr="00F82093">
        <w:tab/>
        <w:t xml:space="preserve">  for work, families and children</w:t>
      </w:r>
    </w:p>
    <w:p w14:paraId="1D8457C4" w14:textId="04F03499" w:rsidR="00F82093" w:rsidRPr="00F82093" w:rsidRDefault="00DA5C70" w:rsidP="00F82093">
      <w:r w:rsidRPr="00DA5C70">
        <w:rPr>
          <w:b/>
        </w:rPr>
        <w:t>2009:</w:t>
      </w:r>
      <w:r>
        <w:t xml:space="preserve"> </w:t>
      </w:r>
      <w:r w:rsidR="00F82093" w:rsidRPr="00F82093">
        <w:t xml:space="preserve">Space and place matter: Informing policy and planning through a spatially integrated social </w:t>
      </w:r>
      <w:r w:rsidR="00F82093" w:rsidRPr="00F82093">
        <w:tab/>
        <w:t xml:space="preserve"> </w:t>
      </w:r>
      <w:r w:rsidR="00F82093" w:rsidRPr="00F82093">
        <w:tab/>
        <w:t>science</w:t>
      </w:r>
    </w:p>
    <w:p w14:paraId="7927A9C8" w14:textId="48F12C78" w:rsidR="00F82093" w:rsidRPr="00F82093" w:rsidRDefault="00DA5C70" w:rsidP="00F82093">
      <w:r w:rsidRPr="00DA5C70">
        <w:rPr>
          <w:b/>
        </w:rPr>
        <w:t>2008:</w:t>
      </w:r>
      <w:r>
        <w:t xml:space="preserve"> </w:t>
      </w:r>
      <w:r w:rsidR="00F82093" w:rsidRPr="00F82093">
        <w:t>Fostering creativity and innovation</w:t>
      </w:r>
    </w:p>
    <w:p w14:paraId="01A9449D" w14:textId="1C0B01DE" w:rsidR="00F82093" w:rsidRPr="00F82093" w:rsidRDefault="00F82093" w:rsidP="00F82093">
      <w:r w:rsidRPr="00DA5C70">
        <w:rPr>
          <w:b/>
        </w:rPr>
        <w:t>2007</w:t>
      </w:r>
      <w:r w:rsidR="00DA5C70" w:rsidRPr="00DA5C70">
        <w:rPr>
          <w:b/>
        </w:rPr>
        <w:t>:</w:t>
      </w:r>
      <w:r w:rsidR="00DA5C70">
        <w:t xml:space="preserve"> </w:t>
      </w:r>
      <w:r w:rsidRPr="00F82093">
        <w:t xml:space="preserve">Power, people, water: Urban water services and human </w:t>
      </w:r>
      <w:proofErr w:type="spellStart"/>
      <w:r w:rsidRPr="00F82093">
        <w:t>behaviour</w:t>
      </w:r>
      <w:proofErr w:type="spellEnd"/>
      <w:r w:rsidRPr="00F82093">
        <w:t xml:space="preserve"> in Australia</w:t>
      </w:r>
    </w:p>
    <w:p w14:paraId="55B9DE53" w14:textId="051850C5" w:rsidR="00F82093" w:rsidRPr="00F82093" w:rsidRDefault="00DA5C70" w:rsidP="00F82093">
      <w:r w:rsidRPr="00DA5C70">
        <w:rPr>
          <w:b/>
        </w:rPr>
        <w:t>2006:</w:t>
      </w:r>
      <w:r>
        <w:t xml:space="preserve"> </w:t>
      </w:r>
      <w:r w:rsidR="00F82093" w:rsidRPr="00F82093">
        <w:t>Australians on the move: Internal migration in Australia</w:t>
      </w:r>
    </w:p>
    <w:p w14:paraId="56930532" w14:textId="1F11763D" w:rsidR="00F82093" w:rsidRPr="00F82093" w:rsidRDefault="00DA5C70" w:rsidP="00F82093">
      <w:r w:rsidRPr="00DA5C70">
        <w:rPr>
          <w:b/>
        </w:rPr>
        <w:t>2005:</w:t>
      </w:r>
      <w:r>
        <w:t xml:space="preserve"> </w:t>
      </w:r>
      <w:r w:rsidR="00F82093" w:rsidRPr="00F82093">
        <w:t>Ideas and influence</w:t>
      </w:r>
    </w:p>
    <w:p w14:paraId="613B3BCF" w14:textId="596FB675" w:rsidR="00F82093" w:rsidRPr="00F82093" w:rsidRDefault="00DA5C70" w:rsidP="00F82093">
      <w:r w:rsidRPr="00DA5C70">
        <w:rPr>
          <w:b/>
        </w:rPr>
        <w:t>2004:</w:t>
      </w:r>
      <w:r>
        <w:t xml:space="preserve"> </w:t>
      </w:r>
      <w:r w:rsidR="00F82093" w:rsidRPr="00F82093">
        <w:t>Government as risk manager</w:t>
      </w:r>
    </w:p>
    <w:p w14:paraId="38725C93" w14:textId="0350CCD8" w:rsidR="00F82093" w:rsidRPr="00F82093" w:rsidRDefault="00DA5C70" w:rsidP="00F82093">
      <w:r w:rsidRPr="00DA5C70">
        <w:rPr>
          <w:b/>
        </w:rPr>
        <w:t>2003:</w:t>
      </w:r>
      <w:r>
        <w:t xml:space="preserve"> </w:t>
      </w:r>
      <w:r w:rsidR="00F82093" w:rsidRPr="00F82093">
        <w:t>Youth in transition</w:t>
      </w:r>
    </w:p>
    <w:p w14:paraId="07735923" w14:textId="722A85A1" w:rsidR="00F82093" w:rsidRPr="00DA5C70" w:rsidRDefault="00DA5C70" w:rsidP="00DA5C70">
      <w:r w:rsidRPr="00DA5C70">
        <w:rPr>
          <w:b/>
        </w:rPr>
        <w:t>2002:</w:t>
      </w:r>
      <w:r>
        <w:t xml:space="preserve"> </w:t>
      </w:r>
      <w:r w:rsidR="00F82093" w:rsidRPr="00F82093">
        <w:t>Building a better future for our children</w:t>
      </w:r>
    </w:p>
    <w:p w14:paraId="1AC31B47" w14:textId="434D6DB6" w:rsidR="00943493" w:rsidRDefault="00F82093" w:rsidP="009C59D1">
      <w:r w:rsidRPr="00F82093">
        <w:rPr>
          <w:b/>
          <w:sz w:val="28"/>
        </w:rPr>
        <w:lastRenderedPageBreak/>
        <w:t>SYMPOSIUM PROPOSAL</w:t>
      </w:r>
      <w:r w:rsidRPr="00F82093">
        <w:rPr>
          <w:sz w:val="28"/>
        </w:rPr>
        <w:t xml:space="preserve"> </w:t>
      </w:r>
      <w:r>
        <w:t>(template)</w:t>
      </w:r>
    </w:p>
    <w:p w14:paraId="2C5A1E10" w14:textId="6E850579" w:rsidR="00DA5C70" w:rsidRDefault="00DA5C70" w:rsidP="009C59D1">
      <w:r>
        <w:t xml:space="preserve">This template should be considered as an Expression of Interest. </w:t>
      </w:r>
      <w:r w:rsidRPr="00DA5C70">
        <w:t xml:space="preserve">Fellows are requested to provide as much information as is possible at this stage for planning purposes only (estimates and indicative figures) and these will be </w:t>
      </w:r>
      <w:proofErr w:type="spellStart"/>
      <w:r w:rsidRPr="00DA5C70">
        <w:t>formali</w:t>
      </w:r>
      <w:r>
        <w:t>s</w:t>
      </w:r>
      <w:r w:rsidRPr="00DA5C70">
        <w:t>ed</w:t>
      </w:r>
      <w:proofErr w:type="spellEnd"/>
      <w:r w:rsidRPr="00DA5C70">
        <w:t xml:space="preserve"> at a later stage.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4"/>
        <w:gridCol w:w="2318"/>
        <w:gridCol w:w="2319"/>
        <w:gridCol w:w="2319"/>
      </w:tblGrid>
      <w:tr w:rsidR="00DA5C70" w:rsidRPr="00DA5C70" w14:paraId="686917A4" w14:textId="77777777" w:rsidTr="00DA5C70">
        <w:tc>
          <w:tcPr>
            <w:tcW w:w="3114" w:type="dxa"/>
            <w:shd w:val="clear" w:color="auto" w:fill="D9D9D9" w:themeFill="background1" w:themeFillShade="D9"/>
          </w:tcPr>
          <w:p w14:paraId="5A970AF3" w14:textId="33E6A519" w:rsidR="00DA5C70" w:rsidRPr="00DA5C70" w:rsidRDefault="00DA5C70" w:rsidP="00DA5C70">
            <w:pPr>
              <w:rPr>
                <w:b/>
                <w:sz w:val="22"/>
              </w:rPr>
            </w:pPr>
            <w:r w:rsidRPr="00DA5C70">
              <w:rPr>
                <w:b/>
                <w:sz w:val="22"/>
              </w:rPr>
              <w:t>Provisional Title:</w:t>
            </w:r>
          </w:p>
        </w:tc>
        <w:tc>
          <w:tcPr>
            <w:tcW w:w="6956" w:type="dxa"/>
            <w:gridSpan w:val="3"/>
          </w:tcPr>
          <w:p w14:paraId="6F8BFCAB" w14:textId="77777777" w:rsidR="00DA5C70" w:rsidRPr="00DA5C70" w:rsidRDefault="00DA5C70" w:rsidP="00DA5C70">
            <w:pPr>
              <w:rPr>
                <w:sz w:val="22"/>
              </w:rPr>
            </w:pPr>
          </w:p>
        </w:tc>
      </w:tr>
      <w:tr w:rsidR="00DA5C70" w:rsidRPr="00DA5C70" w14:paraId="5744E326" w14:textId="77777777" w:rsidTr="00DA5C70">
        <w:tc>
          <w:tcPr>
            <w:tcW w:w="3114" w:type="dxa"/>
            <w:shd w:val="clear" w:color="auto" w:fill="D9D9D9" w:themeFill="background1" w:themeFillShade="D9"/>
          </w:tcPr>
          <w:p w14:paraId="22BCE198" w14:textId="661F887D" w:rsidR="00DA5C70" w:rsidRPr="00DA5C70" w:rsidRDefault="00DA5C70" w:rsidP="00DA5C70">
            <w:pPr>
              <w:rPr>
                <w:b/>
                <w:sz w:val="22"/>
              </w:rPr>
            </w:pPr>
            <w:r w:rsidRPr="00DA5C70">
              <w:rPr>
                <w:b/>
                <w:sz w:val="22"/>
              </w:rPr>
              <w:t>Convenors:</w:t>
            </w:r>
          </w:p>
        </w:tc>
        <w:tc>
          <w:tcPr>
            <w:tcW w:w="6956" w:type="dxa"/>
            <w:gridSpan w:val="3"/>
          </w:tcPr>
          <w:p w14:paraId="43275717" w14:textId="77777777" w:rsidR="00DA5C70" w:rsidRPr="00DA5C70" w:rsidRDefault="00DA5C70" w:rsidP="00DA5C70">
            <w:pPr>
              <w:rPr>
                <w:sz w:val="22"/>
              </w:rPr>
            </w:pPr>
          </w:p>
        </w:tc>
      </w:tr>
      <w:tr w:rsidR="00DA5C70" w:rsidRPr="00DA5C70" w14:paraId="1341E4A1" w14:textId="77777777" w:rsidTr="00DA5C70">
        <w:tc>
          <w:tcPr>
            <w:tcW w:w="3114" w:type="dxa"/>
            <w:shd w:val="clear" w:color="auto" w:fill="D9D9D9" w:themeFill="background1" w:themeFillShade="D9"/>
          </w:tcPr>
          <w:p w14:paraId="08CB01D3" w14:textId="62C4015E" w:rsidR="00DA5C70" w:rsidRPr="00DA5C70" w:rsidRDefault="00DA5C70" w:rsidP="00DA5C70">
            <w:pPr>
              <w:rPr>
                <w:b/>
                <w:sz w:val="22"/>
              </w:rPr>
            </w:pPr>
            <w:r w:rsidRPr="00DA5C70">
              <w:rPr>
                <w:b/>
                <w:sz w:val="22"/>
              </w:rPr>
              <w:t xml:space="preserve">Primary Contact: </w:t>
            </w:r>
          </w:p>
        </w:tc>
        <w:tc>
          <w:tcPr>
            <w:tcW w:w="6956" w:type="dxa"/>
            <w:gridSpan w:val="3"/>
          </w:tcPr>
          <w:p w14:paraId="6F11A709" w14:textId="77777777" w:rsidR="00DA5C70" w:rsidRPr="00DA5C70" w:rsidRDefault="00DA5C70" w:rsidP="00DA5C70">
            <w:pPr>
              <w:rPr>
                <w:sz w:val="22"/>
              </w:rPr>
            </w:pPr>
          </w:p>
        </w:tc>
      </w:tr>
      <w:tr w:rsidR="00DA5C70" w:rsidRPr="00DA5C70" w14:paraId="341965DC" w14:textId="77777777" w:rsidTr="00DA5C70">
        <w:tc>
          <w:tcPr>
            <w:tcW w:w="3114" w:type="dxa"/>
            <w:shd w:val="clear" w:color="auto" w:fill="D9D9D9" w:themeFill="background1" w:themeFillShade="D9"/>
          </w:tcPr>
          <w:p w14:paraId="622AC3BC" w14:textId="4D6579D8" w:rsidR="00DA5C70" w:rsidRPr="00DA5C70" w:rsidRDefault="00DA5C70" w:rsidP="00DA5C70">
            <w:pPr>
              <w:rPr>
                <w:b/>
              </w:rPr>
            </w:pPr>
            <w:r w:rsidRPr="00DA5C70">
              <w:rPr>
                <w:b/>
                <w:sz w:val="22"/>
              </w:rPr>
              <w:t xml:space="preserve">Proposed Location: </w:t>
            </w:r>
          </w:p>
        </w:tc>
        <w:tc>
          <w:tcPr>
            <w:tcW w:w="6956" w:type="dxa"/>
            <w:gridSpan w:val="3"/>
          </w:tcPr>
          <w:p w14:paraId="1DA3E874" w14:textId="77777777" w:rsidR="00DA5C70" w:rsidRPr="00DA5C70" w:rsidRDefault="00DA5C70" w:rsidP="00DA5C70"/>
        </w:tc>
      </w:tr>
      <w:tr w:rsidR="00DA5C70" w:rsidRPr="00DA5C70" w14:paraId="088C8793" w14:textId="77777777" w:rsidTr="00DA5C70">
        <w:tc>
          <w:tcPr>
            <w:tcW w:w="3114" w:type="dxa"/>
            <w:shd w:val="clear" w:color="auto" w:fill="D9D9D9" w:themeFill="background1" w:themeFillShade="D9"/>
          </w:tcPr>
          <w:p w14:paraId="61ECBEBE" w14:textId="56BCFEBA" w:rsidR="00DA5C70" w:rsidRPr="00DA5C70" w:rsidRDefault="00DA5C70" w:rsidP="00DA5C70">
            <w:pPr>
              <w:rPr>
                <w:b/>
                <w:sz w:val="22"/>
              </w:rPr>
            </w:pPr>
            <w:r w:rsidRPr="00DA5C70">
              <w:rPr>
                <w:b/>
                <w:sz w:val="22"/>
              </w:rPr>
              <w:t>Intellectual Rationale and Scope:</w:t>
            </w:r>
          </w:p>
        </w:tc>
        <w:tc>
          <w:tcPr>
            <w:tcW w:w="6956" w:type="dxa"/>
            <w:gridSpan w:val="3"/>
          </w:tcPr>
          <w:p w14:paraId="525E5916" w14:textId="77777777" w:rsidR="00DA5C70" w:rsidRPr="00DA5C70" w:rsidRDefault="00DA5C70" w:rsidP="00DA5C70">
            <w:pPr>
              <w:rPr>
                <w:sz w:val="22"/>
              </w:rPr>
            </w:pPr>
          </w:p>
        </w:tc>
      </w:tr>
      <w:tr w:rsidR="00DA5C70" w:rsidRPr="00DA5C70" w14:paraId="2B1E4C3B" w14:textId="77777777" w:rsidTr="00DA5C70">
        <w:tc>
          <w:tcPr>
            <w:tcW w:w="3114" w:type="dxa"/>
            <w:shd w:val="clear" w:color="auto" w:fill="D9D9D9" w:themeFill="background1" w:themeFillShade="D9"/>
          </w:tcPr>
          <w:p w14:paraId="1239B912" w14:textId="6257DB0F" w:rsidR="00DA5C70" w:rsidRPr="00DA5C70" w:rsidRDefault="00DA5C70" w:rsidP="00DA5C70">
            <w:pPr>
              <w:rPr>
                <w:b/>
                <w:sz w:val="22"/>
              </w:rPr>
            </w:pPr>
            <w:r w:rsidRPr="00DA5C70">
              <w:rPr>
                <w:b/>
                <w:sz w:val="22"/>
              </w:rPr>
              <w:t>Proposed Australian speakers:</w:t>
            </w:r>
          </w:p>
        </w:tc>
        <w:tc>
          <w:tcPr>
            <w:tcW w:w="6956" w:type="dxa"/>
            <w:gridSpan w:val="3"/>
          </w:tcPr>
          <w:p w14:paraId="4B7D9086" w14:textId="77777777" w:rsidR="00DA5C70" w:rsidRPr="00DA5C70" w:rsidRDefault="00DA5C70" w:rsidP="00DA5C70">
            <w:pPr>
              <w:rPr>
                <w:sz w:val="22"/>
              </w:rPr>
            </w:pPr>
          </w:p>
        </w:tc>
      </w:tr>
      <w:tr w:rsidR="00DA5C70" w:rsidRPr="00DA5C70" w14:paraId="6DC8B14D" w14:textId="77777777" w:rsidTr="00DA5C70">
        <w:tc>
          <w:tcPr>
            <w:tcW w:w="3114" w:type="dxa"/>
            <w:shd w:val="clear" w:color="auto" w:fill="D9D9D9" w:themeFill="background1" w:themeFillShade="D9"/>
          </w:tcPr>
          <w:p w14:paraId="445F4E52" w14:textId="6622DBD1" w:rsidR="00DA5C70" w:rsidRPr="00DA5C70" w:rsidRDefault="00DA5C70" w:rsidP="00DA5C70">
            <w:pPr>
              <w:rPr>
                <w:b/>
                <w:sz w:val="22"/>
              </w:rPr>
            </w:pPr>
            <w:r w:rsidRPr="00DA5C70">
              <w:rPr>
                <w:b/>
                <w:sz w:val="22"/>
              </w:rPr>
              <w:t>Possible international speaker:</w:t>
            </w:r>
          </w:p>
        </w:tc>
        <w:tc>
          <w:tcPr>
            <w:tcW w:w="6956" w:type="dxa"/>
            <w:gridSpan w:val="3"/>
          </w:tcPr>
          <w:p w14:paraId="174C864B" w14:textId="77777777" w:rsidR="00DA5C70" w:rsidRPr="00DA5C70" w:rsidRDefault="00DA5C70" w:rsidP="00DA5C70">
            <w:pPr>
              <w:rPr>
                <w:sz w:val="22"/>
              </w:rPr>
            </w:pPr>
          </w:p>
        </w:tc>
      </w:tr>
      <w:tr w:rsidR="00DA5C70" w:rsidRPr="00DA5C70" w14:paraId="67874F3D" w14:textId="77777777" w:rsidTr="00DA5C70">
        <w:tc>
          <w:tcPr>
            <w:tcW w:w="3114" w:type="dxa"/>
            <w:shd w:val="clear" w:color="auto" w:fill="D9D9D9" w:themeFill="background1" w:themeFillShade="D9"/>
          </w:tcPr>
          <w:p w14:paraId="4746D0CE" w14:textId="52F6EE5A" w:rsidR="00DA5C70" w:rsidRPr="00DA5C70" w:rsidRDefault="00DA5C70" w:rsidP="00DA5C70">
            <w:pPr>
              <w:rPr>
                <w:b/>
                <w:sz w:val="22"/>
              </w:rPr>
            </w:pPr>
            <w:r w:rsidRPr="00DA5C70">
              <w:rPr>
                <w:b/>
                <w:sz w:val="22"/>
              </w:rPr>
              <w:t>Target external audience (non-fellows):</w:t>
            </w:r>
          </w:p>
        </w:tc>
        <w:tc>
          <w:tcPr>
            <w:tcW w:w="6956" w:type="dxa"/>
            <w:gridSpan w:val="3"/>
          </w:tcPr>
          <w:p w14:paraId="02C5562B" w14:textId="77777777" w:rsidR="00DA5C70" w:rsidRPr="00DA5C70" w:rsidRDefault="00DA5C70" w:rsidP="00DA5C70">
            <w:pPr>
              <w:rPr>
                <w:sz w:val="22"/>
              </w:rPr>
            </w:pPr>
          </w:p>
        </w:tc>
      </w:tr>
      <w:tr w:rsidR="00DA5C70" w:rsidRPr="00DA5C70" w14:paraId="324B2CCE" w14:textId="77777777" w:rsidTr="00DA5C70">
        <w:tc>
          <w:tcPr>
            <w:tcW w:w="3114" w:type="dxa"/>
            <w:shd w:val="clear" w:color="auto" w:fill="D9D9D9" w:themeFill="background1" w:themeFillShade="D9"/>
          </w:tcPr>
          <w:p w14:paraId="50800276" w14:textId="14D4C3E6" w:rsidR="00DA5C70" w:rsidRPr="00DA5C70" w:rsidRDefault="00DA5C70" w:rsidP="001B40EC">
            <w:pPr>
              <w:rPr>
                <w:b/>
                <w:sz w:val="22"/>
              </w:rPr>
            </w:pPr>
            <w:r w:rsidRPr="00DA5C70">
              <w:rPr>
                <w:b/>
                <w:sz w:val="22"/>
              </w:rPr>
              <w:t>Promotion</w:t>
            </w:r>
            <w:r w:rsidR="001B40EC">
              <w:rPr>
                <w:b/>
                <w:sz w:val="22"/>
              </w:rPr>
              <w:t xml:space="preserve"> avenues/linked events</w:t>
            </w:r>
            <w:r w:rsidRPr="00DA5C70">
              <w:rPr>
                <w:b/>
                <w:sz w:val="22"/>
              </w:rPr>
              <w:t>:</w:t>
            </w:r>
          </w:p>
        </w:tc>
        <w:tc>
          <w:tcPr>
            <w:tcW w:w="6956" w:type="dxa"/>
            <w:gridSpan w:val="3"/>
          </w:tcPr>
          <w:p w14:paraId="59EB488D" w14:textId="77777777" w:rsidR="00DA5C70" w:rsidRPr="00DA5C70" w:rsidRDefault="00DA5C70" w:rsidP="00DA5C70">
            <w:pPr>
              <w:rPr>
                <w:sz w:val="22"/>
              </w:rPr>
            </w:pPr>
          </w:p>
        </w:tc>
      </w:tr>
      <w:tr w:rsidR="00B55105" w:rsidRPr="00DA5C70" w14:paraId="0D29E2D3" w14:textId="77777777" w:rsidTr="00B55105">
        <w:tc>
          <w:tcPr>
            <w:tcW w:w="3114" w:type="dxa"/>
            <w:shd w:val="clear" w:color="auto" w:fill="000000" w:themeFill="text1"/>
          </w:tcPr>
          <w:p w14:paraId="4BBBAF90" w14:textId="77777777" w:rsidR="00B55105" w:rsidRDefault="00B55105" w:rsidP="00DA5C70">
            <w:pPr>
              <w:rPr>
                <w:b/>
                <w:color w:val="FFFFFF" w:themeColor="background1"/>
                <w:sz w:val="22"/>
              </w:rPr>
            </w:pPr>
            <w:r w:rsidRPr="00B55105">
              <w:rPr>
                <w:b/>
                <w:color w:val="FFFFFF" w:themeColor="background1"/>
                <w:sz w:val="22"/>
              </w:rPr>
              <w:t>Proposed Budget</w:t>
            </w:r>
          </w:p>
          <w:p w14:paraId="1EB0A48E" w14:textId="7A4AF7B6" w:rsidR="00B55105" w:rsidRPr="00B55105" w:rsidRDefault="00B55105" w:rsidP="00DA5C70">
            <w:pPr>
              <w:rPr>
                <w:color w:val="FFFFFF" w:themeColor="background1"/>
              </w:rPr>
            </w:pPr>
            <w:r w:rsidRPr="00B55105">
              <w:rPr>
                <w:color w:val="FFFFFF" w:themeColor="background1"/>
                <w:sz w:val="22"/>
              </w:rPr>
              <w:t>(estimate)</w:t>
            </w:r>
          </w:p>
        </w:tc>
        <w:tc>
          <w:tcPr>
            <w:tcW w:w="2318" w:type="dxa"/>
          </w:tcPr>
          <w:p w14:paraId="79A5AB28" w14:textId="290DEE24" w:rsidR="00B55105" w:rsidRPr="00B55105" w:rsidRDefault="00B55105" w:rsidP="00B55105">
            <w:pPr>
              <w:jc w:val="center"/>
              <w:rPr>
                <w:sz w:val="22"/>
              </w:rPr>
            </w:pPr>
            <w:r w:rsidRPr="00B55105">
              <w:rPr>
                <w:sz w:val="22"/>
              </w:rPr>
              <w:t xml:space="preserve">Airfare </w:t>
            </w:r>
            <w:r w:rsidRPr="00B55105">
              <w:rPr>
                <w:sz w:val="22"/>
              </w:rPr>
              <w:br/>
              <w:t>(total)</w:t>
            </w:r>
          </w:p>
        </w:tc>
        <w:tc>
          <w:tcPr>
            <w:tcW w:w="2319" w:type="dxa"/>
          </w:tcPr>
          <w:p w14:paraId="63A419FC" w14:textId="167599A5" w:rsidR="00B55105" w:rsidRPr="00B55105" w:rsidRDefault="00B55105" w:rsidP="00B55105">
            <w:pPr>
              <w:jc w:val="center"/>
              <w:rPr>
                <w:sz w:val="22"/>
              </w:rPr>
            </w:pPr>
            <w:r w:rsidRPr="00B55105">
              <w:rPr>
                <w:sz w:val="22"/>
              </w:rPr>
              <w:t xml:space="preserve">Accommodation </w:t>
            </w:r>
            <w:r w:rsidRPr="00B55105">
              <w:rPr>
                <w:sz w:val="22"/>
              </w:rPr>
              <w:br/>
              <w:t>(total)</w:t>
            </w:r>
          </w:p>
        </w:tc>
        <w:tc>
          <w:tcPr>
            <w:tcW w:w="2319" w:type="dxa"/>
          </w:tcPr>
          <w:p w14:paraId="2985CD83" w14:textId="38941C1E" w:rsidR="00B55105" w:rsidRPr="00B55105" w:rsidRDefault="00B55105" w:rsidP="00B55105">
            <w:pPr>
              <w:jc w:val="center"/>
              <w:rPr>
                <w:sz w:val="22"/>
              </w:rPr>
            </w:pPr>
            <w:r w:rsidRPr="00B55105">
              <w:rPr>
                <w:sz w:val="22"/>
              </w:rPr>
              <w:t xml:space="preserve">Ground Transport </w:t>
            </w:r>
            <w:r w:rsidRPr="00B55105">
              <w:rPr>
                <w:sz w:val="22"/>
              </w:rPr>
              <w:br/>
              <w:t>(total)</w:t>
            </w:r>
          </w:p>
        </w:tc>
      </w:tr>
      <w:tr w:rsidR="00B55105" w:rsidRPr="00DA5C70" w14:paraId="7A3DA66B" w14:textId="77777777" w:rsidTr="0087457C">
        <w:tc>
          <w:tcPr>
            <w:tcW w:w="3114" w:type="dxa"/>
            <w:shd w:val="clear" w:color="auto" w:fill="D9D9D9" w:themeFill="background1" w:themeFillShade="D9"/>
          </w:tcPr>
          <w:p w14:paraId="6FE55C3A" w14:textId="41379708" w:rsidR="00B55105" w:rsidRPr="00DA5C70" w:rsidRDefault="00B55105" w:rsidP="00DA5C70">
            <w:pPr>
              <w:rPr>
                <w:b/>
              </w:rPr>
            </w:pPr>
            <w:r>
              <w:rPr>
                <w:b/>
              </w:rPr>
              <w:t># of Convenors/Chairs/Speakers (domestic, external to host location)</w:t>
            </w:r>
          </w:p>
        </w:tc>
        <w:tc>
          <w:tcPr>
            <w:tcW w:w="2318" w:type="dxa"/>
          </w:tcPr>
          <w:p w14:paraId="25078830" w14:textId="4A83E49E" w:rsidR="00B55105" w:rsidRDefault="00B55105" w:rsidP="00DA5C70">
            <w:r>
              <w:t xml:space="preserve"># - </w:t>
            </w:r>
          </w:p>
          <w:p w14:paraId="1ACC5374" w14:textId="0065553E" w:rsidR="00B55105" w:rsidRPr="00DA5C70" w:rsidRDefault="00B55105" w:rsidP="00DA5C70">
            <w:r>
              <w:t xml:space="preserve">$ - </w:t>
            </w:r>
          </w:p>
        </w:tc>
        <w:tc>
          <w:tcPr>
            <w:tcW w:w="2319" w:type="dxa"/>
          </w:tcPr>
          <w:p w14:paraId="2BAA454F" w14:textId="40E66AF9" w:rsidR="00B55105" w:rsidRPr="00DA5C70" w:rsidRDefault="00B55105" w:rsidP="00DA5C70">
            <w:r>
              <w:t>$</w:t>
            </w:r>
          </w:p>
        </w:tc>
        <w:tc>
          <w:tcPr>
            <w:tcW w:w="2319" w:type="dxa"/>
          </w:tcPr>
          <w:p w14:paraId="4D100286" w14:textId="62A2B80F" w:rsidR="00B55105" w:rsidRPr="00DA5C70" w:rsidRDefault="00B55105" w:rsidP="00DA5C70">
            <w:r>
              <w:t>$</w:t>
            </w:r>
          </w:p>
        </w:tc>
      </w:tr>
      <w:tr w:rsidR="00B55105" w:rsidRPr="00DA5C70" w14:paraId="3B01F329" w14:textId="77777777" w:rsidTr="00E347A4">
        <w:tc>
          <w:tcPr>
            <w:tcW w:w="3114" w:type="dxa"/>
            <w:shd w:val="clear" w:color="auto" w:fill="D9D9D9" w:themeFill="background1" w:themeFillShade="D9"/>
          </w:tcPr>
          <w:p w14:paraId="2A556843" w14:textId="2D005262" w:rsidR="00B55105" w:rsidRPr="00DA5C70" w:rsidRDefault="00B55105" w:rsidP="00DA5C70">
            <w:pPr>
              <w:rPr>
                <w:b/>
              </w:rPr>
            </w:pPr>
            <w:r>
              <w:rPr>
                <w:b/>
              </w:rPr>
              <w:t>International Presenter (if any)</w:t>
            </w:r>
          </w:p>
        </w:tc>
        <w:tc>
          <w:tcPr>
            <w:tcW w:w="2318" w:type="dxa"/>
          </w:tcPr>
          <w:p w14:paraId="25F4F195" w14:textId="177BFCFB" w:rsidR="00B55105" w:rsidRPr="00DA5C70" w:rsidRDefault="00B55105" w:rsidP="00DA5C70">
            <w:r>
              <w:t>$</w:t>
            </w:r>
          </w:p>
        </w:tc>
        <w:tc>
          <w:tcPr>
            <w:tcW w:w="2319" w:type="dxa"/>
          </w:tcPr>
          <w:p w14:paraId="40E4ABE8" w14:textId="0AA4E162" w:rsidR="00B55105" w:rsidRPr="00DA5C70" w:rsidRDefault="00B55105" w:rsidP="00DA5C70">
            <w:r>
              <w:t>$</w:t>
            </w:r>
          </w:p>
        </w:tc>
        <w:tc>
          <w:tcPr>
            <w:tcW w:w="2319" w:type="dxa"/>
          </w:tcPr>
          <w:p w14:paraId="298DABBB" w14:textId="726728EB" w:rsidR="00B55105" w:rsidRPr="00DA5C70" w:rsidRDefault="00B55105" w:rsidP="00DA5C70">
            <w:r>
              <w:t>$</w:t>
            </w:r>
          </w:p>
        </w:tc>
      </w:tr>
      <w:tr w:rsidR="00B55105" w:rsidRPr="00DA5C70" w14:paraId="19505606" w14:textId="77777777" w:rsidTr="00922870">
        <w:tc>
          <w:tcPr>
            <w:tcW w:w="3114" w:type="dxa"/>
            <w:shd w:val="clear" w:color="auto" w:fill="D9D9D9" w:themeFill="background1" w:themeFillShade="D9"/>
          </w:tcPr>
          <w:p w14:paraId="02C078DE" w14:textId="3A00E152" w:rsidR="00B55105" w:rsidRDefault="00B55105" w:rsidP="00DA5C70">
            <w:pPr>
              <w:rPr>
                <w:b/>
              </w:rPr>
            </w:pPr>
            <w:r>
              <w:rPr>
                <w:b/>
              </w:rPr>
              <w:t>External Sponsorship or In-Kind Funding</w:t>
            </w:r>
          </w:p>
        </w:tc>
        <w:tc>
          <w:tcPr>
            <w:tcW w:w="6956" w:type="dxa"/>
            <w:gridSpan w:val="3"/>
          </w:tcPr>
          <w:p w14:paraId="2CE99D9D" w14:textId="77777777" w:rsidR="00B55105" w:rsidRDefault="00B55105" w:rsidP="00DA5C70"/>
        </w:tc>
      </w:tr>
      <w:tr w:rsidR="00B55105" w:rsidRPr="00DA5C70" w14:paraId="7AC4C214" w14:textId="77777777" w:rsidTr="00922870">
        <w:tc>
          <w:tcPr>
            <w:tcW w:w="3114" w:type="dxa"/>
            <w:shd w:val="clear" w:color="auto" w:fill="D9D9D9" w:themeFill="background1" w:themeFillShade="D9"/>
          </w:tcPr>
          <w:p w14:paraId="3167783E" w14:textId="69567173" w:rsidR="00B55105" w:rsidRDefault="00B55105" w:rsidP="00DA5C70">
            <w:pPr>
              <w:rPr>
                <w:b/>
              </w:rPr>
            </w:pPr>
            <w:r>
              <w:rPr>
                <w:b/>
              </w:rPr>
              <w:t>Venue Hire &amp; Catering</w:t>
            </w:r>
          </w:p>
        </w:tc>
        <w:tc>
          <w:tcPr>
            <w:tcW w:w="6956" w:type="dxa"/>
            <w:gridSpan w:val="3"/>
          </w:tcPr>
          <w:p w14:paraId="5D50AB34" w14:textId="01A21471" w:rsidR="00B55105" w:rsidRDefault="00B55105" w:rsidP="00DA5C70">
            <w:proofErr w:type="spellStart"/>
            <w:r>
              <w:t>TBC</w:t>
            </w:r>
            <w:proofErr w:type="spellEnd"/>
            <w:r>
              <w:t xml:space="preserve"> by the Academy</w:t>
            </w:r>
          </w:p>
        </w:tc>
      </w:tr>
    </w:tbl>
    <w:p w14:paraId="6B87B9BD" w14:textId="77777777" w:rsidR="00DA5C70" w:rsidRDefault="00DA5C70" w:rsidP="00DA5C70"/>
    <w:p w14:paraId="445646D0" w14:textId="4ED0E905" w:rsidR="00C279A2" w:rsidRPr="00F82093" w:rsidRDefault="00B55105" w:rsidP="00FE11A1">
      <w:pPr>
        <w:spacing w:after="120" w:line="240" w:lineRule="auto"/>
        <w:jc w:val="both"/>
        <w:rPr>
          <w:b/>
          <w:u w:val="single"/>
        </w:rPr>
      </w:pPr>
      <w:r w:rsidRPr="00262615">
        <w:t xml:space="preserve">Proposals should be submitted to </w:t>
      </w:r>
      <w:r w:rsidRPr="00262615">
        <w:rPr>
          <w:b/>
          <w:u w:val="single"/>
        </w:rPr>
        <w:t>secre</w:t>
      </w:r>
      <w:bookmarkStart w:id="0" w:name="_GoBack"/>
      <w:bookmarkEnd w:id="0"/>
      <w:r w:rsidRPr="00262615">
        <w:rPr>
          <w:b/>
          <w:u w:val="single"/>
        </w:rPr>
        <w:t>tariat@assa.edu.au</w:t>
      </w:r>
    </w:p>
    <w:sectPr w:rsidR="00C279A2" w:rsidRPr="00F82093" w:rsidSect="00CB5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2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8CBE0" w14:textId="77777777" w:rsidR="00A672AA" w:rsidRDefault="00A672AA" w:rsidP="00A672AA">
      <w:pPr>
        <w:spacing w:after="0" w:line="240" w:lineRule="auto"/>
      </w:pPr>
      <w:r>
        <w:separator/>
      </w:r>
    </w:p>
  </w:endnote>
  <w:endnote w:type="continuationSeparator" w:id="0">
    <w:p w14:paraId="71824B35" w14:textId="77777777" w:rsidR="00A672AA" w:rsidRDefault="00A672AA" w:rsidP="00A6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59015" w14:textId="77777777" w:rsidR="00A672AA" w:rsidRDefault="00A672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9DE6B" w14:textId="77777777" w:rsidR="00A672AA" w:rsidRDefault="00A672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D039E" w14:textId="77777777" w:rsidR="00A672AA" w:rsidRDefault="00A672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B1476" w14:textId="77777777" w:rsidR="00A672AA" w:rsidRDefault="00A672AA" w:rsidP="00A672AA">
      <w:pPr>
        <w:spacing w:after="0" w:line="240" w:lineRule="auto"/>
      </w:pPr>
      <w:r>
        <w:separator/>
      </w:r>
    </w:p>
  </w:footnote>
  <w:footnote w:type="continuationSeparator" w:id="0">
    <w:p w14:paraId="37780125" w14:textId="77777777" w:rsidR="00A672AA" w:rsidRDefault="00A672AA" w:rsidP="00A67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3BDB9" w14:textId="77777777" w:rsidR="00A672AA" w:rsidRDefault="00A672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64F12" w14:textId="1124B353" w:rsidR="00A672AA" w:rsidRDefault="00A672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73513" w14:textId="77777777" w:rsidR="00A672AA" w:rsidRDefault="00A672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528E"/>
    <w:multiLevelType w:val="hybridMultilevel"/>
    <w:tmpl w:val="8B12AE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07D6D"/>
    <w:multiLevelType w:val="hybridMultilevel"/>
    <w:tmpl w:val="0CA4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F62BC"/>
    <w:multiLevelType w:val="hybridMultilevel"/>
    <w:tmpl w:val="42588B5A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577614"/>
    <w:multiLevelType w:val="hybridMultilevel"/>
    <w:tmpl w:val="74626C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75FD5"/>
    <w:multiLevelType w:val="hybridMultilevel"/>
    <w:tmpl w:val="59441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308B5"/>
    <w:multiLevelType w:val="hybridMultilevel"/>
    <w:tmpl w:val="7E0C013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069C3"/>
    <w:multiLevelType w:val="hybridMultilevel"/>
    <w:tmpl w:val="CD721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96"/>
    <w:rsid w:val="00024784"/>
    <w:rsid w:val="0006638F"/>
    <w:rsid w:val="000E518F"/>
    <w:rsid w:val="000E7F2B"/>
    <w:rsid w:val="00154EDA"/>
    <w:rsid w:val="001640B4"/>
    <w:rsid w:val="001B40EC"/>
    <w:rsid w:val="001D2508"/>
    <w:rsid w:val="001D26EE"/>
    <w:rsid w:val="00262615"/>
    <w:rsid w:val="002735E7"/>
    <w:rsid w:val="002B73E8"/>
    <w:rsid w:val="00363BD5"/>
    <w:rsid w:val="0036541F"/>
    <w:rsid w:val="004C4EA8"/>
    <w:rsid w:val="004D184A"/>
    <w:rsid w:val="004F5AC2"/>
    <w:rsid w:val="00514A12"/>
    <w:rsid w:val="005162DC"/>
    <w:rsid w:val="0056438D"/>
    <w:rsid w:val="0056764E"/>
    <w:rsid w:val="006559E0"/>
    <w:rsid w:val="006E2E33"/>
    <w:rsid w:val="006E5C33"/>
    <w:rsid w:val="007073E5"/>
    <w:rsid w:val="00756207"/>
    <w:rsid w:val="007E03F0"/>
    <w:rsid w:val="007F5459"/>
    <w:rsid w:val="00846116"/>
    <w:rsid w:val="008516F5"/>
    <w:rsid w:val="008B1AD3"/>
    <w:rsid w:val="008F071C"/>
    <w:rsid w:val="00943493"/>
    <w:rsid w:val="009777D3"/>
    <w:rsid w:val="0098625F"/>
    <w:rsid w:val="009C59D1"/>
    <w:rsid w:val="009F115E"/>
    <w:rsid w:val="00A12E38"/>
    <w:rsid w:val="00A672AA"/>
    <w:rsid w:val="00A90375"/>
    <w:rsid w:val="00AA425F"/>
    <w:rsid w:val="00AD7F43"/>
    <w:rsid w:val="00B30AC1"/>
    <w:rsid w:val="00B55105"/>
    <w:rsid w:val="00B80F5B"/>
    <w:rsid w:val="00B97687"/>
    <w:rsid w:val="00BA5532"/>
    <w:rsid w:val="00C279A2"/>
    <w:rsid w:val="00C92B98"/>
    <w:rsid w:val="00CB5517"/>
    <w:rsid w:val="00D034E6"/>
    <w:rsid w:val="00D31620"/>
    <w:rsid w:val="00D47C72"/>
    <w:rsid w:val="00DA5C70"/>
    <w:rsid w:val="00DC3F53"/>
    <w:rsid w:val="00DE322B"/>
    <w:rsid w:val="00E21528"/>
    <w:rsid w:val="00E70C96"/>
    <w:rsid w:val="00F459DC"/>
    <w:rsid w:val="00F82093"/>
    <w:rsid w:val="00FC2587"/>
    <w:rsid w:val="00FE11A1"/>
    <w:rsid w:val="00F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7454CA2-DD68-4A2E-9D76-57D5CB0D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BD5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BD5"/>
    <w:pPr>
      <w:outlineLvl w:val="0"/>
    </w:pPr>
    <w:rPr>
      <w:b/>
      <w:color w:val="BC8D16"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B5517"/>
    <w:pPr>
      <w:outlineLvl w:val="1"/>
    </w:pPr>
    <w:rPr>
      <w:b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4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C9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14A12"/>
    <w:pPr>
      <w:spacing w:after="0" w:line="240" w:lineRule="auto"/>
    </w:pPr>
    <w:rPr>
      <w:rFonts w:ascii="Consolas" w:hAnsi="Consolas" w:cs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514A12"/>
    <w:rPr>
      <w:rFonts w:ascii="Consolas" w:hAnsi="Consolas" w:cs="Consolas"/>
      <w:sz w:val="21"/>
      <w:szCs w:val="21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363BD5"/>
    <w:pPr>
      <w:spacing w:after="0" w:line="240" w:lineRule="auto"/>
      <w:contextualSpacing/>
      <w:jc w:val="center"/>
    </w:pPr>
    <w:rPr>
      <w:rFonts w:eastAsiaTheme="majorEastAsia"/>
      <w:color w:val="BC8D16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BD5"/>
    <w:rPr>
      <w:rFonts w:ascii="Arial" w:eastAsiaTheme="majorEastAsia" w:hAnsi="Arial" w:cs="Arial"/>
      <w:color w:val="BC8D16"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59"/>
    <w:rsid w:val="000247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63BD5"/>
    <w:rPr>
      <w:rFonts w:ascii="Arial" w:hAnsi="Arial" w:cs="Arial"/>
      <w:b/>
      <w:color w:val="BC8D1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B5517"/>
    <w:rPr>
      <w:rFonts w:ascii="Arial" w:hAnsi="Arial" w:cs="Arial"/>
      <w:color w:val="BC8D16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6541F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0E518F"/>
    <w:pPr>
      <w:spacing w:after="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1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5C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2AA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67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2A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</dc:creator>
  <cp:keywords/>
  <dc:description/>
  <cp:lastModifiedBy>Liz West</cp:lastModifiedBy>
  <cp:revision>8</cp:revision>
  <cp:lastPrinted>2017-07-12T05:15:00Z</cp:lastPrinted>
  <dcterms:created xsi:type="dcterms:W3CDTF">2019-05-09T05:00:00Z</dcterms:created>
  <dcterms:modified xsi:type="dcterms:W3CDTF">2019-05-14T05:23:00Z</dcterms:modified>
</cp:coreProperties>
</file>